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51" w:rsidRDefault="00FF7A90" w:rsidP="00B4635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D43CEC">
        <w:rPr>
          <w:rFonts w:ascii="Times New Roman" w:hAnsi="Times New Roman"/>
          <w:b/>
          <w:sz w:val="24"/>
          <w:szCs w:val="24"/>
        </w:rPr>
        <w:t xml:space="preserve">Obrazac </w:t>
      </w:r>
      <w:r w:rsidR="00AD5F9E">
        <w:rPr>
          <w:rFonts w:ascii="Times New Roman" w:hAnsi="Times New Roman"/>
          <w:b/>
          <w:sz w:val="24"/>
          <w:szCs w:val="24"/>
        </w:rPr>
        <w:t>broj 1</w:t>
      </w:r>
    </w:p>
    <w:p w:rsidR="00B46351" w:rsidRDefault="00B46351" w:rsidP="00B4635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F7A90" w:rsidRDefault="00FF7A90" w:rsidP="00B4635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6162C">
        <w:rPr>
          <w:rFonts w:ascii="Times New Roman" w:hAnsi="Times New Roman"/>
          <w:b/>
          <w:caps/>
          <w:sz w:val="24"/>
          <w:szCs w:val="24"/>
        </w:rPr>
        <w:t xml:space="preserve">Obrazac za pripremu </w:t>
      </w:r>
      <w:r w:rsidRPr="00B46351">
        <w:rPr>
          <w:rFonts w:ascii="Times New Roman" w:hAnsi="Times New Roman"/>
          <w:b/>
          <w:caps/>
          <w:sz w:val="24"/>
          <w:szCs w:val="24"/>
          <w:u w:val="single"/>
        </w:rPr>
        <w:t>sveobuhvatne</w:t>
      </w:r>
      <w:r w:rsidRPr="00B4635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2F2F">
        <w:rPr>
          <w:rFonts w:ascii="Times New Roman" w:hAnsi="Times New Roman"/>
          <w:b/>
          <w:caps/>
          <w:sz w:val="24"/>
          <w:szCs w:val="24"/>
        </w:rPr>
        <w:t>procjene utJE</w:t>
      </w:r>
      <w:bookmarkStart w:id="0" w:name="_GoBack"/>
      <w:bookmarkEnd w:id="0"/>
      <w:r w:rsidRPr="00C6162C">
        <w:rPr>
          <w:rFonts w:ascii="Times New Roman" w:hAnsi="Times New Roman"/>
          <w:b/>
          <w:caps/>
          <w:sz w:val="24"/>
          <w:szCs w:val="24"/>
        </w:rPr>
        <w:t>caja propisa</w:t>
      </w:r>
    </w:p>
    <w:p w:rsidR="00D43CEC" w:rsidRPr="00D43CEC" w:rsidRDefault="00D43CEC" w:rsidP="00D43CEC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33"/>
        <w:gridCol w:w="5119"/>
      </w:tblGrid>
      <w:tr w:rsidR="00FF7A90" w:rsidRPr="002C7C3D" w:rsidTr="00FF7A90">
        <w:tc>
          <w:tcPr>
            <w:tcW w:w="3998" w:type="dxa"/>
            <w:shd w:val="pct15" w:color="auto" w:fill="auto"/>
          </w:tcPr>
          <w:p w:rsidR="00FF7A90" w:rsidRPr="002C7C3D" w:rsidRDefault="00587427" w:rsidP="009727A8">
            <w:pPr>
              <w:spacing w:before="120" w:after="120"/>
              <w:rPr>
                <w:rFonts w:ascii="Times New Roman" w:eastAsia="Arial Unicode MS" w:hAnsi="Times New Roman"/>
                <w:b/>
                <w:bCs/>
                <w:lang w:eastAsia="ja-JP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ja-JP"/>
              </w:rPr>
              <w:t>Naziv prednacrta/nacrta</w:t>
            </w:r>
            <w:r w:rsidR="009727A8">
              <w:rPr>
                <w:rFonts w:ascii="Times New Roman" w:eastAsia="Arial Unicode MS" w:hAnsi="Times New Roman"/>
                <w:b/>
                <w:bCs/>
                <w:lang w:eastAsia="ja-JP"/>
              </w:rPr>
              <w:t xml:space="preserve"> zakona</w:t>
            </w:r>
          </w:p>
        </w:tc>
        <w:tc>
          <w:tcPr>
            <w:tcW w:w="5290" w:type="dxa"/>
            <w:shd w:val="clear" w:color="auto" w:fill="auto"/>
          </w:tcPr>
          <w:p w:rsidR="00FF7A90" w:rsidRPr="002C7C3D" w:rsidRDefault="00FF7A90" w:rsidP="00F15DE9">
            <w:pPr>
              <w:spacing w:before="120" w:after="120"/>
              <w:rPr>
                <w:rFonts w:ascii="Times New Roman" w:eastAsia="Arial Unicode MS" w:hAnsi="Times New Roman"/>
                <w:b/>
                <w:lang w:eastAsia="ja-JP"/>
              </w:rPr>
            </w:pPr>
          </w:p>
        </w:tc>
      </w:tr>
      <w:tr w:rsidR="00FF7A90" w:rsidRPr="002C7C3D" w:rsidTr="00FF7A90">
        <w:trPr>
          <w:trHeight w:val="376"/>
        </w:trPr>
        <w:tc>
          <w:tcPr>
            <w:tcW w:w="3998" w:type="dxa"/>
            <w:shd w:val="pct15" w:color="auto" w:fill="auto"/>
          </w:tcPr>
          <w:p w:rsidR="00FF7A90" w:rsidRPr="002C7C3D" w:rsidRDefault="00FF7A90" w:rsidP="00F15DE9">
            <w:pPr>
              <w:spacing w:before="120" w:after="120"/>
              <w:rPr>
                <w:rFonts w:ascii="Times New Roman" w:eastAsia="Arial Unicode MS" w:hAnsi="Times New Roman"/>
                <w:b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/>
                <w:bCs/>
                <w:lang w:eastAsia="ja-JP"/>
              </w:rPr>
              <w:t>Datum</w:t>
            </w:r>
          </w:p>
        </w:tc>
        <w:tc>
          <w:tcPr>
            <w:tcW w:w="5290" w:type="dxa"/>
            <w:shd w:val="clear" w:color="auto" w:fill="auto"/>
          </w:tcPr>
          <w:p w:rsidR="00FF7A90" w:rsidRPr="002C7C3D" w:rsidRDefault="00FF7A90" w:rsidP="00F15DE9">
            <w:pPr>
              <w:spacing w:before="120" w:after="120"/>
              <w:rPr>
                <w:rFonts w:ascii="Times New Roman" w:eastAsia="Arial Unicode MS" w:hAnsi="Times New Roman"/>
                <w:b/>
                <w:lang w:eastAsia="ja-JP"/>
              </w:rPr>
            </w:pPr>
          </w:p>
        </w:tc>
      </w:tr>
      <w:tr w:rsidR="00FF7A90" w:rsidRPr="002C7C3D" w:rsidTr="00FF7A90">
        <w:trPr>
          <w:trHeight w:val="457"/>
        </w:trPr>
        <w:tc>
          <w:tcPr>
            <w:tcW w:w="3998" w:type="dxa"/>
            <w:shd w:val="pct15" w:color="auto" w:fill="auto"/>
          </w:tcPr>
          <w:p w:rsidR="00FF7A90" w:rsidRPr="002C7C3D" w:rsidRDefault="00FF7A90" w:rsidP="00F15DE9">
            <w:pPr>
              <w:spacing w:before="120" w:after="120"/>
              <w:rPr>
                <w:rFonts w:ascii="Times New Roman" w:eastAsia="Arial Unicode MS" w:hAnsi="Times New Roman"/>
                <w:b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/>
                <w:bCs/>
                <w:lang w:eastAsia="ja-JP"/>
              </w:rPr>
              <w:t>Obrađivač</w:t>
            </w:r>
          </w:p>
        </w:tc>
        <w:tc>
          <w:tcPr>
            <w:tcW w:w="5290" w:type="dxa"/>
            <w:shd w:val="clear" w:color="auto" w:fill="auto"/>
          </w:tcPr>
          <w:p w:rsidR="00FF7A90" w:rsidRPr="002C7C3D" w:rsidRDefault="00FF7A90" w:rsidP="00F15DE9">
            <w:pPr>
              <w:spacing w:before="120" w:after="120"/>
              <w:rPr>
                <w:rFonts w:ascii="Times New Roman" w:eastAsia="Arial Unicode MS" w:hAnsi="Times New Roman"/>
                <w:b/>
                <w:lang w:eastAsia="ja-JP"/>
              </w:rPr>
            </w:pPr>
          </w:p>
        </w:tc>
      </w:tr>
      <w:tr w:rsidR="00FF7A90" w:rsidRPr="002C7C3D" w:rsidTr="00FF7A90">
        <w:trPr>
          <w:trHeight w:val="520"/>
        </w:trPr>
        <w:tc>
          <w:tcPr>
            <w:tcW w:w="9288" w:type="dxa"/>
            <w:gridSpan w:val="2"/>
            <w:shd w:val="pct15" w:color="auto" w:fill="auto"/>
            <w:vAlign w:val="center"/>
          </w:tcPr>
          <w:p w:rsidR="00FF7A90" w:rsidRPr="002C7C3D" w:rsidRDefault="00FF7A90" w:rsidP="00F15DE9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b/>
                <w:bCs/>
                <w:cap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/>
                <w:bCs/>
                <w:caps/>
                <w:lang w:eastAsia="ja-JP"/>
              </w:rPr>
              <w:t xml:space="preserve">I  - </w:t>
            </w:r>
            <w:r w:rsidRPr="002C7C3D">
              <w:rPr>
                <w:rFonts w:ascii="Times New Roman" w:eastAsia="Arial Unicode MS" w:hAnsi="Times New Roman"/>
                <w:b/>
                <w:bCs/>
                <w:lang w:eastAsia="ja-JP"/>
              </w:rPr>
              <w:t>Identifikacija i definicija problema</w:t>
            </w:r>
          </w:p>
        </w:tc>
      </w:tr>
      <w:tr w:rsidR="00FF7A90" w:rsidRPr="002C7C3D" w:rsidTr="00FF7A90">
        <w:trPr>
          <w:trHeight w:val="745"/>
        </w:trPr>
        <w:tc>
          <w:tcPr>
            <w:tcW w:w="92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A90" w:rsidRPr="002C7C3D" w:rsidRDefault="00FF7A90" w:rsidP="00F15DE9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U ovom poglavlju neophodno je identificirati i detaljno analizirati postojeći problem i razloge njegovog nastanka. Važno je precizirati koje interesne 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skupine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su pogođene datim problemom, te utvrditi da li je riječ o povremenom ili stalnom problemu. U okviru ovog dijela analize, potrebno je odgovoriti na slijedeća pitanja:</w:t>
            </w:r>
          </w:p>
          <w:p w:rsidR="00FF7A90" w:rsidRPr="002C7C3D" w:rsidRDefault="00FF7A90" w:rsidP="00D16EF1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bCs/>
                <w:cap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Zašto postojeće stanje nije zadovoljavajuće? Koje promjene je uzrokovao ovaj problem? Koji su 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temeljni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uzroci i pokretači problema? Koji su rizici svojstveni datoj situac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iji? Kako se problem razvijao tijekom vremena? Što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se može desiti ukoliko se </w:t>
            </w:r>
            <w:r w:rsidR="0046402A">
              <w:rPr>
                <w:rFonts w:ascii="Times New Roman" w:eastAsia="Arial Unicode MS" w:hAnsi="Times New Roman"/>
                <w:bCs/>
                <w:lang w:eastAsia="ja-JP"/>
              </w:rPr>
              <w:t>zakon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ne promijeni? Zašto postojeća situacija nije više održiva? Zašto je neophodna intervencija u ovoj oblasti?</w:t>
            </w:r>
          </w:p>
        </w:tc>
      </w:tr>
      <w:tr w:rsidR="00FF7A90" w:rsidRPr="002C7C3D" w:rsidTr="00FF7A90">
        <w:trPr>
          <w:trHeight w:val="430"/>
        </w:trPr>
        <w:tc>
          <w:tcPr>
            <w:tcW w:w="9288" w:type="dxa"/>
            <w:gridSpan w:val="2"/>
            <w:shd w:val="pct15" w:color="auto" w:fill="auto"/>
          </w:tcPr>
          <w:p w:rsidR="00FF7A90" w:rsidRPr="002C7C3D" w:rsidRDefault="00FF7A90" w:rsidP="00F15DE9">
            <w:pPr>
              <w:spacing w:before="120" w:after="120" w:line="240" w:lineRule="auto"/>
              <w:rPr>
                <w:rFonts w:ascii="Times New Roman" w:eastAsia="Arial Unicode MS" w:hAnsi="Times New Roman"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/>
                <w:bCs/>
                <w:caps/>
                <w:lang w:eastAsia="ja-JP"/>
              </w:rPr>
              <w:t xml:space="preserve">II  - </w:t>
            </w:r>
            <w:r w:rsidRPr="002C7C3D">
              <w:rPr>
                <w:rFonts w:ascii="Times New Roman" w:eastAsia="Arial Unicode MS" w:hAnsi="Times New Roman"/>
                <w:b/>
                <w:bCs/>
                <w:lang w:eastAsia="ja-JP"/>
              </w:rPr>
              <w:t xml:space="preserve">Definiranje ciljeva </w:t>
            </w:r>
          </w:p>
        </w:tc>
      </w:tr>
      <w:tr w:rsidR="00FF7A90" w:rsidRPr="002C7C3D" w:rsidTr="00FF7A90">
        <w:trPr>
          <w:trHeight w:val="1528"/>
        </w:trPr>
        <w:tc>
          <w:tcPr>
            <w:tcW w:w="9288" w:type="dxa"/>
            <w:gridSpan w:val="2"/>
            <w:shd w:val="clear" w:color="auto" w:fill="auto"/>
          </w:tcPr>
          <w:p w:rsidR="00FF7A90" w:rsidRPr="002C7C3D" w:rsidRDefault="00D16EF1" w:rsidP="00D16EF1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Arial Unicode MS" w:hAnsi="Times New Roman"/>
                <w:bCs/>
                <w:lang w:eastAsia="ja-JP"/>
              </w:rPr>
            </w:pPr>
            <w:r>
              <w:rPr>
                <w:rFonts w:ascii="Times New Roman" w:eastAsia="Arial Unicode MS" w:hAnsi="Times New Roman"/>
                <w:bCs/>
                <w:lang w:eastAsia="ja-JP"/>
              </w:rPr>
              <w:t>U ovom dijelu se prvo definira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opći cilj, a potom pojedinačni/specifični ciljevi</w:t>
            </w:r>
            <w:r>
              <w:rPr>
                <w:rFonts w:ascii="Times New Roman" w:eastAsia="Arial Unicode MS" w:hAnsi="Times New Roman"/>
                <w:bCs/>
                <w:lang w:eastAsia="ja-JP"/>
              </w:rPr>
              <w:t>,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koji će se razraditi u operativne. Ciljevi su u </w:t>
            </w:r>
            <w:r>
              <w:rPr>
                <w:rFonts w:ascii="Times New Roman" w:eastAsia="Arial Unicode MS" w:hAnsi="Times New Roman"/>
                <w:bCs/>
                <w:lang w:eastAsia="ja-JP"/>
              </w:rPr>
              <w:t>izravnoj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lang w:eastAsia="ja-JP"/>
              </w:rPr>
              <w:t>svezi s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identificiranim problemom i njegovim </w:t>
            </w:r>
            <w:r>
              <w:rPr>
                <w:rFonts w:ascii="Times New Roman" w:eastAsia="Arial Unicode MS" w:hAnsi="Times New Roman"/>
                <w:bCs/>
                <w:lang w:eastAsia="ja-JP"/>
              </w:rPr>
              <w:t xml:space="preserve">temeljnim 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>uzrocima. Svi ciljevi trebaju b</w:t>
            </w:r>
            <w:r>
              <w:rPr>
                <w:rFonts w:ascii="Times New Roman" w:eastAsia="Arial Unicode MS" w:hAnsi="Times New Roman"/>
                <w:bCs/>
                <w:lang w:eastAsia="ja-JP"/>
              </w:rPr>
              <w:t>iti mjerljivi, odnosno kvantificirani, izvodlji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vi, ostvarljivi i realni. Svaki </w:t>
            </w:r>
            <w:r>
              <w:rPr>
                <w:rFonts w:ascii="Times New Roman" w:eastAsia="Arial Unicode MS" w:hAnsi="Times New Roman"/>
                <w:bCs/>
                <w:lang w:eastAsia="ja-JP"/>
              </w:rPr>
              <w:t>od ciljeva se vezuje za određeno razdoblje realiziranja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, odnosno precizira se vremenski okvir neophodan za izvršenje. </w:t>
            </w:r>
          </w:p>
        </w:tc>
      </w:tr>
      <w:tr w:rsidR="00FF7A90" w:rsidRPr="002C7C3D" w:rsidTr="00FF7A90">
        <w:trPr>
          <w:trHeight w:val="448"/>
        </w:trPr>
        <w:tc>
          <w:tcPr>
            <w:tcW w:w="9288" w:type="dxa"/>
            <w:gridSpan w:val="2"/>
            <w:shd w:val="pct15" w:color="auto" w:fill="auto"/>
          </w:tcPr>
          <w:p w:rsidR="00FF7A90" w:rsidRPr="002C7C3D" w:rsidRDefault="00FF7A90" w:rsidP="00F15DE9">
            <w:pPr>
              <w:spacing w:before="120" w:after="120" w:line="240" w:lineRule="auto"/>
              <w:rPr>
                <w:rFonts w:ascii="Times New Roman" w:eastAsia="Arial Unicode MS" w:hAnsi="Times New Roman"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/>
                <w:bCs/>
                <w:caps/>
                <w:lang w:eastAsia="ja-JP"/>
              </w:rPr>
              <w:t xml:space="preserve">III  - </w:t>
            </w:r>
            <w:r w:rsidRPr="002C7C3D">
              <w:rPr>
                <w:rFonts w:ascii="Times New Roman" w:eastAsia="Arial Unicode MS" w:hAnsi="Times New Roman"/>
                <w:b/>
                <w:bCs/>
                <w:lang w:eastAsia="ja-JP"/>
              </w:rPr>
              <w:t>Definiranje alternativnih opcija</w:t>
            </w:r>
          </w:p>
        </w:tc>
      </w:tr>
      <w:tr w:rsidR="00FF7A90" w:rsidRPr="002C7C3D" w:rsidTr="00FF7A90">
        <w:trPr>
          <w:trHeight w:val="610"/>
        </w:trPr>
        <w:tc>
          <w:tcPr>
            <w:tcW w:w="92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F7A90" w:rsidRDefault="00FF7A90" w:rsidP="00A70017">
            <w:pPr>
              <w:jc w:val="both"/>
              <w:rPr>
                <w:rFonts w:ascii="Times New Roman" w:eastAsia="Arial Unicode MS" w:hAnsi="Times New Roman"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U ovom poglavlju neophodno je identificirati različite opcije, odnosno 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 xml:space="preserve">utvrditi 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koji je osnovni pristup za ostvarenje cilja. Za sve moguće opcije, neophodno je utvrditi je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 xml:space="preserve"> li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riječ o normativnim ili nenormativnim mehanizmima. Nenormativna rješenja sadrže opciju </w:t>
            </w:r>
            <w:r w:rsidRPr="002C7C3D">
              <w:rPr>
                <w:rFonts w:ascii="Times New Roman" w:eastAsia="Arial Unicode MS" w:hAnsi="Times New Roman"/>
                <w:bCs/>
                <w:i/>
                <w:lang w:eastAsia="ja-JP"/>
              </w:rPr>
              <w:t>„ne poduzimati ništa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“. Tom opcijom se predviđa da će se postojeće stanje zadržati, te da nikakve nove aktivnosti neće biti poduzete s 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ciljem izmjene postojećeg stanja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– dakle, ukoliko se procjena odnosi na postojeći zakonski okvir, ova opcija podrazumijeva zadržavanje postojećeg zakonskog okvira. Pored ovog, nenormativno rješenje može biti i opcija za rješavanje problema bez usvajanja novog ili izmjena postojećeg zakonskog okvira – promjena svijesti građana, interesnih 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skupina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, djelovanje putem projekata, javnih kampanja i slično. Normativni mehanizmi po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drazumijevaju postizanje definir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anih ciljeva zakonskim okvirom, bilo da je riječ o izmjeni postojećeg okvira ili usvajanjem novog kojim će se uvesti novi način postizanja cilja. Svaku od ovih opcija je potrebno detaljno objasniti. U ovom dijelu se također utvrđuju okviri za mjerenje 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učinkovit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osti, 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djelotvornosti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i usklađenosti. Posebnu ulogu imaju finan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cijski učinci i učinkovitost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. Potrebno je naglasiti 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hoće li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troškovi primjene novog rješenja opravdati troškove novog </w:t>
            </w:r>
            <w:r w:rsidR="0046402A">
              <w:rPr>
                <w:rFonts w:ascii="Times New Roman" w:eastAsia="Arial Unicode MS" w:hAnsi="Times New Roman"/>
                <w:bCs/>
                <w:lang w:eastAsia="ja-JP"/>
              </w:rPr>
              <w:t>zakona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, odnosno neophodno je pokazati da će koristi od rješenja biti veće od troškova izazvanih novim rješenjem.</w:t>
            </w:r>
          </w:p>
          <w:p w:rsidR="00B46351" w:rsidRDefault="00B46351" w:rsidP="00F15DE9">
            <w:pPr>
              <w:rPr>
                <w:rFonts w:ascii="Times New Roman" w:eastAsia="Arial Unicode MS" w:hAnsi="Times New Roman"/>
                <w:bCs/>
                <w:lang w:eastAsia="ja-JP"/>
              </w:rPr>
            </w:pPr>
          </w:p>
          <w:p w:rsidR="00B46351" w:rsidRPr="002C7C3D" w:rsidRDefault="00B46351" w:rsidP="00F15DE9">
            <w:pPr>
              <w:rPr>
                <w:rFonts w:ascii="Times New Roman" w:eastAsia="Arial Unicode MS" w:hAnsi="Times New Roman"/>
                <w:bCs/>
                <w:lang w:eastAsia="ja-JP"/>
              </w:rPr>
            </w:pPr>
          </w:p>
        </w:tc>
      </w:tr>
      <w:tr w:rsidR="00FF7A90" w:rsidRPr="002C7C3D" w:rsidTr="00FF7A90">
        <w:trPr>
          <w:trHeight w:val="430"/>
        </w:trPr>
        <w:tc>
          <w:tcPr>
            <w:tcW w:w="9288" w:type="dxa"/>
            <w:gridSpan w:val="2"/>
            <w:shd w:val="pct15" w:color="auto" w:fill="auto"/>
          </w:tcPr>
          <w:p w:rsidR="00FF7A90" w:rsidRPr="002C7C3D" w:rsidRDefault="00FF7A90" w:rsidP="00F15DE9">
            <w:pPr>
              <w:spacing w:before="120" w:after="120" w:line="240" w:lineRule="auto"/>
              <w:rPr>
                <w:rFonts w:ascii="Times New Roman" w:eastAsia="Arial Unicode MS" w:hAnsi="Times New Roman"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/>
                <w:bCs/>
                <w:caps/>
                <w:lang w:eastAsia="ja-JP"/>
              </w:rPr>
              <w:lastRenderedPageBreak/>
              <w:t xml:space="preserve">IV  - </w:t>
            </w:r>
            <w:r w:rsidR="00D16EF1">
              <w:rPr>
                <w:rFonts w:ascii="Times New Roman" w:eastAsia="Arial Unicode MS" w:hAnsi="Times New Roman"/>
                <w:b/>
                <w:bCs/>
                <w:lang w:eastAsia="ja-JP"/>
              </w:rPr>
              <w:t>Analiza utje</w:t>
            </w:r>
            <w:r w:rsidRPr="002C7C3D">
              <w:rPr>
                <w:rFonts w:ascii="Times New Roman" w:eastAsia="Arial Unicode MS" w:hAnsi="Times New Roman"/>
                <w:b/>
                <w:bCs/>
                <w:lang w:eastAsia="ja-JP"/>
              </w:rPr>
              <w:t>caja opcija</w:t>
            </w:r>
          </w:p>
        </w:tc>
      </w:tr>
      <w:tr w:rsidR="00FF7A90" w:rsidRPr="002C7C3D" w:rsidTr="00FF7A90">
        <w:trPr>
          <w:trHeight w:val="936"/>
        </w:trPr>
        <w:tc>
          <w:tcPr>
            <w:tcW w:w="92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F7A90" w:rsidRPr="002C7C3D" w:rsidRDefault="00FF7A90" w:rsidP="00C670BD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Za svaku od predloženih opcija 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se u ovom poglavlju identificira kakav utje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caj ima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 xml:space="preserve"> u odnosu na polazno stanje. Utje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caj se izražava kvalitativno i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 xml:space="preserve"> kvantitativno. U slučaju da utje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caje nije moguće izraziti kvantitativno, neophodno je objasniti zašto. U ovom dijelu se prikupljaju poda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t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ci i utvrđuje se 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polazno stanje, odnosno polazne osnove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(kvantitativno). Procjenjuje se trošak postojećeg stanja, koji se izražava, po mogućnosti, monetarno, pri čemu se uzimaju u obzir svi kvantitativni elementi – troškovi izdavanja 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dokumenata, naknade, pristojbe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, kvantificira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no vrijeme službenika, podnositelj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a zahtjeva, it</w:t>
            </w:r>
            <w:r w:rsidR="00D16EF1">
              <w:rPr>
                <w:rFonts w:ascii="Times New Roman" w:eastAsia="Arial Unicode MS" w:hAnsi="Times New Roman"/>
                <w:bCs/>
                <w:lang w:eastAsia="ja-JP"/>
              </w:rPr>
              <w:t>d. U ovom dijelu se identificira koje skupine su najviše pod utjecajem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datih opcija. Također se za svaku od predloženih opcija anal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izira ekonomski, socijalni utje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caj 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 xml:space="preserve">i utjecaj 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na životnu sre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dinu, te kako se isti reflektiraju – koji utje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caj imaju na makroekonomsku sliku, poslovnu zajednicu, potrošače, ekonomske odnose, društvo, rast i zap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o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šljavanje, krei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ranje radnih mjesta, prava i ob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veze r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adnika, pitanja diskriminacije,z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dravstvo, socija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lnu skrb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, klimatske promjene, kvalitet zraka, vode, tla, itd. U okviru svake od opcija potrebno je analizirati koju vrstu administrativnih opterećenja, odnosno koje eventualne koristi i pojednostavljenja 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 xml:space="preserve">nosi sa sobom. U ovom dijelu 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trebaju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 xml:space="preserve"> se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predstaviti dokazi da ova intervencija opravdava troškove. Potrebno je procijeniti sve ekonomske troškove za građane, poslovnu zajednicu, ali i javnu upravu, te utvrditi odnos koristi i troškova. Pored t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oga, neophodno je identificirati koja vrst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pojednostavljenja 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 xml:space="preserve">je moguća, a nije 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provedena i zašto. U okviru ovog dijela neophodno je analizirati rizike i nesigurnosti koje se vezuju za svaku od opcija, uključujući i politički aspekt, prepreke u primjeni predloženih opcija i 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razdoblje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transpozicije. </w:t>
            </w:r>
          </w:p>
        </w:tc>
      </w:tr>
      <w:tr w:rsidR="00FF7A90" w:rsidRPr="002C7C3D" w:rsidTr="00FF7A90">
        <w:trPr>
          <w:trHeight w:val="511"/>
        </w:trPr>
        <w:tc>
          <w:tcPr>
            <w:tcW w:w="9288" w:type="dxa"/>
            <w:gridSpan w:val="2"/>
            <w:shd w:val="pct15" w:color="auto" w:fill="auto"/>
          </w:tcPr>
          <w:p w:rsidR="00FF7A90" w:rsidRPr="002C7C3D" w:rsidRDefault="00FF7A90" w:rsidP="00F15DE9">
            <w:pPr>
              <w:spacing w:before="120" w:after="120" w:line="240" w:lineRule="auto"/>
              <w:rPr>
                <w:rFonts w:ascii="Times New Roman" w:eastAsia="Arial Unicode MS" w:hAnsi="Times New Roman"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/>
                <w:bCs/>
                <w:caps/>
                <w:lang w:eastAsia="ja-JP"/>
              </w:rPr>
              <w:t xml:space="preserve">V  - </w:t>
            </w:r>
            <w:r w:rsidRPr="002C7C3D">
              <w:rPr>
                <w:rFonts w:ascii="Times New Roman" w:eastAsia="Arial Unicode MS" w:hAnsi="Times New Roman"/>
                <w:b/>
                <w:bCs/>
                <w:lang w:eastAsia="ja-JP"/>
              </w:rPr>
              <w:t>Poređenje alternativnih opcija</w:t>
            </w:r>
          </w:p>
        </w:tc>
      </w:tr>
      <w:tr w:rsidR="00FF7A90" w:rsidRPr="002C7C3D" w:rsidTr="00FF7A90">
        <w:trPr>
          <w:trHeight w:val="936"/>
        </w:trPr>
        <w:tc>
          <w:tcPr>
            <w:tcW w:w="9288" w:type="dxa"/>
            <w:gridSpan w:val="2"/>
            <w:shd w:val="clear" w:color="auto" w:fill="auto"/>
          </w:tcPr>
          <w:p w:rsidR="00FF7A90" w:rsidRPr="002C7C3D" w:rsidRDefault="00FF7A90" w:rsidP="00F15DE9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b/>
                <w:u w:val="single"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U ovom poglavlju je neophodno n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avesti pozitivne i negativne utje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caje svake od opcija. Ukoliko je moguće, neophodno je kvantitativno uporediti sve opcije, odnosno, ukoliko je moguće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,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prikazati objedinjene rezultate i rezultate za svaku od opcija pojedinačno. Potrebno je prikazati poređenje za svaku od opcija po segmentima. Za svaku od opcija treba detaljno izlistati njene prednosti i nedostatke, te tablerano prikazati kvantitativne podatke. Uk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oliko je moguće i jasno, definir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ati odgovarajuću i najpovoljniju opciju. </w:t>
            </w:r>
          </w:p>
        </w:tc>
      </w:tr>
      <w:tr w:rsidR="00FF7A90" w:rsidRPr="002C7C3D" w:rsidTr="00FF7A90">
        <w:trPr>
          <w:trHeight w:val="493"/>
        </w:trPr>
        <w:tc>
          <w:tcPr>
            <w:tcW w:w="9288" w:type="dxa"/>
            <w:gridSpan w:val="2"/>
            <w:shd w:val="pct15" w:color="auto" w:fill="auto"/>
          </w:tcPr>
          <w:p w:rsidR="00FF7A90" w:rsidRPr="002C7C3D" w:rsidRDefault="00FF7A90" w:rsidP="00F15DE9">
            <w:pPr>
              <w:spacing w:before="120" w:after="120" w:line="240" w:lineRule="auto"/>
              <w:rPr>
                <w:rFonts w:ascii="Times New Roman" w:eastAsia="Arial Unicode MS" w:hAnsi="Times New Roman"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/>
                <w:bCs/>
                <w:caps/>
                <w:lang w:eastAsia="ja-JP"/>
              </w:rPr>
              <w:t xml:space="preserve">VI  - </w:t>
            </w:r>
            <w:r w:rsidR="00C670BD">
              <w:rPr>
                <w:rFonts w:ascii="Times New Roman" w:eastAsia="Arial Unicode MS" w:hAnsi="Times New Roman"/>
                <w:b/>
                <w:bCs/>
                <w:lang w:eastAsia="ja-JP"/>
              </w:rPr>
              <w:t>Konz</w:t>
            </w:r>
            <w:r w:rsidRPr="002C7C3D">
              <w:rPr>
                <w:rFonts w:ascii="Times New Roman" w:eastAsia="Arial Unicode MS" w:hAnsi="Times New Roman"/>
                <w:b/>
                <w:bCs/>
                <w:lang w:eastAsia="ja-JP"/>
              </w:rPr>
              <w:t>ultacije</w:t>
            </w:r>
          </w:p>
        </w:tc>
      </w:tr>
      <w:tr w:rsidR="00FF7A90" w:rsidRPr="002C7C3D" w:rsidTr="00FF7A90">
        <w:trPr>
          <w:trHeight w:val="936"/>
        </w:trPr>
        <w:tc>
          <w:tcPr>
            <w:tcW w:w="9288" w:type="dxa"/>
            <w:gridSpan w:val="2"/>
            <w:shd w:val="clear" w:color="auto" w:fill="auto"/>
          </w:tcPr>
          <w:p w:rsidR="00FF7A90" w:rsidRPr="002C7C3D" w:rsidRDefault="00FF7A90" w:rsidP="00F15DE9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U ovom dijelu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 xml:space="preserve"> se detaljno opisuje proces konz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ultacija ve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zanih za provođenje procjene utjecaja. Konz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ultacije se provode s ciljem kreiranja što kvalitetnijeg rješenja. U ovom poglavlju neophodno je detaljnije obraditi slijedeće elemente:</w:t>
            </w:r>
          </w:p>
          <w:p w:rsidR="00FF7A90" w:rsidRPr="002C7C3D" w:rsidRDefault="00C670BD" w:rsidP="00C670BD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bCs/>
                <w:lang w:eastAsia="ja-JP"/>
              </w:rPr>
            </w:pPr>
            <w:r>
              <w:rPr>
                <w:rFonts w:ascii="Times New Roman" w:eastAsia="Arial Unicode MS" w:hAnsi="Times New Roman"/>
                <w:bCs/>
                <w:lang w:eastAsia="ja-JP"/>
              </w:rPr>
              <w:t>Cilj konzultacija, te kako su organizir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ane; detaljnije objašnjenje o </w:t>
            </w:r>
            <w:r>
              <w:rPr>
                <w:rFonts w:ascii="Times New Roman" w:eastAsia="Arial Unicode MS" w:hAnsi="Times New Roman"/>
                <w:bCs/>
                <w:lang w:eastAsia="ja-JP"/>
              </w:rPr>
              <w:t>sudionicima konzultacija, ciljanim skupinama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i svim zainteresiranim stranama; dinamiku održavanja (vremens</w:t>
            </w:r>
            <w:r>
              <w:rPr>
                <w:rFonts w:ascii="Times New Roman" w:eastAsia="Arial Unicode MS" w:hAnsi="Times New Roman"/>
                <w:bCs/>
                <w:lang w:eastAsia="ja-JP"/>
              </w:rPr>
              <w:t>ki okvir u kojem su održane konz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>ult</w:t>
            </w:r>
            <w:r>
              <w:rPr>
                <w:rFonts w:ascii="Times New Roman" w:eastAsia="Arial Unicode MS" w:hAnsi="Times New Roman"/>
                <w:bCs/>
                <w:lang w:eastAsia="ja-JP"/>
              </w:rPr>
              <w:t>acije, intenzitet, broj sudionika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>, itd.),</w:t>
            </w:r>
            <w:r>
              <w:rPr>
                <w:rFonts w:ascii="Times New Roman" w:eastAsia="Arial Unicode MS" w:hAnsi="Times New Roman"/>
                <w:bCs/>
                <w:lang w:eastAsia="ja-JP"/>
              </w:rPr>
              <w:t xml:space="preserve"> popraćenost konz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>ultacija (upitnici, mediji, web stranice i portali), te rezultate ovog procesa, odn</w:t>
            </w:r>
            <w:r>
              <w:rPr>
                <w:rFonts w:ascii="Times New Roman" w:eastAsia="Arial Unicode MS" w:hAnsi="Times New Roman"/>
                <w:bCs/>
                <w:lang w:eastAsia="ja-JP"/>
              </w:rPr>
              <w:t>osno stavove koji su izraženi tijekom konz</w:t>
            </w:r>
            <w:r w:rsidR="00FF7A90" w:rsidRPr="002C7C3D">
              <w:rPr>
                <w:rFonts w:ascii="Times New Roman" w:eastAsia="Arial Unicode MS" w:hAnsi="Times New Roman"/>
                <w:bCs/>
                <w:lang w:eastAsia="ja-JP"/>
              </w:rPr>
              <w:t>ultacija.</w:t>
            </w:r>
          </w:p>
        </w:tc>
      </w:tr>
      <w:tr w:rsidR="00FF7A90" w:rsidRPr="002C7C3D" w:rsidTr="00FF7A90">
        <w:trPr>
          <w:trHeight w:val="610"/>
        </w:trPr>
        <w:tc>
          <w:tcPr>
            <w:tcW w:w="9288" w:type="dxa"/>
            <w:gridSpan w:val="2"/>
            <w:shd w:val="pct15" w:color="auto" w:fill="auto"/>
          </w:tcPr>
          <w:p w:rsidR="00FF7A90" w:rsidRPr="002C7C3D" w:rsidRDefault="00FF7A90" w:rsidP="00F15DE9">
            <w:pPr>
              <w:spacing w:before="120" w:after="120" w:line="240" w:lineRule="auto"/>
              <w:rPr>
                <w:rFonts w:ascii="Times New Roman" w:eastAsia="Arial Unicode MS" w:hAnsi="Times New Roman"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/>
                <w:bCs/>
                <w:caps/>
                <w:lang w:eastAsia="ja-JP"/>
              </w:rPr>
              <w:t xml:space="preserve">VII  - </w:t>
            </w:r>
            <w:r w:rsidRPr="002C7C3D">
              <w:rPr>
                <w:rFonts w:ascii="Times New Roman" w:eastAsia="Arial Unicode MS" w:hAnsi="Times New Roman"/>
                <w:b/>
                <w:bCs/>
                <w:lang w:eastAsia="ja-JP"/>
              </w:rPr>
              <w:t>Praćenje i evaluacija</w:t>
            </w:r>
          </w:p>
        </w:tc>
      </w:tr>
      <w:tr w:rsidR="00FF7A90" w:rsidRPr="002C7C3D" w:rsidTr="00FF7A90">
        <w:trPr>
          <w:trHeight w:val="936"/>
        </w:trPr>
        <w:tc>
          <w:tcPr>
            <w:tcW w:w="9288" w:type="dxa"/>
            <w:gridSpan w:val="2"/>
            <w:shd w:val="clear" w:color="auto" w:fill="auto"/>
          </w:tcPr>
          <w:p w:rsidR="00FF7A90" w:rsidRPr="002C7C3D" w:rsidRDefault="00FF7A90" w:rsidP="00C670BD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Nakon razmotrenih opcija, neophodno je utvrditi indikatore na 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temelju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 kojih se može mjeriti napredak koji je rezultat usvojene opcije (pokazatelji uspješnosti), te utvrditi indikatore za evaluaci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ju primjene. Potrebno je definir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 xml:space="preserve">ati način na koji će se prikupljati neophodne informacije. Ovdje je potrebno opisati na koji način će se predložena opcija primjenjivati, te </w:t>
            </w:r>
            <w:r w:rsidR="00C670BD">
              <w:rPr>
                <w:rFonts w:ascii="Times New Roman" w:eastAsia="Arial Unicode MS" w:hAnsi="Times New Roman"/>
                <w:bCs/>
                <w:lang w:eastAsia="ja-JP"/>
              </w:rPr>
              <w:t>t</w:t>
            </w:r>
            <w:r w:rsidRPr="002C7C3D">
              <w:rPr>
                <w:rFonts w:ascii="Times New Roman" w:eastAsia="Arial Unicode MS" w:hAnsi="Times New Roman"/>
                <w:bCs/>
                <w:lang w:eastAsia="ja-JP"/>
              </w:rPr>
              <w:t>ko je odgovoran za primjenu i u kojem vremenskom okviru. Također je važno u ovom dijelu precizirati sve vremenske rokove za primjenu i glavne rezultate koji se žele postiči, kako bi se omogućilo neometano praćenje i evaluacija.</w:t>
            </w:r>
          </w:p>
        </w:tc>
      </w:tr>
      <w:tr w:rsidR="00FF7A90" w:rsidRPr="002C7C3D" w:rsidTr="00FF7A90">
        <w:trPr>
          <w:trHeight w:val="610"/>
        </w:trPr>
        <w:tc>
          <w:tcPr>
            <w:tcW w:w="9288" w:type="dxa"/>
            <w:gridSpan w:val="2"/>
            <w:shd w:val="pct15" w:color="auto" w:fill="auto"/>
          </w:tcPr>
          <w:p w:rsidR="00FF7A90" w:rsidRPr="002C7C3D" w:rsidRDefault="00FF7A90" w:rsidP="00F15DE9">
            <w:pPr>
              <w:spacing w:before="120" w:after="120" w:line="240" w:lineRule="auto"/>
              <w:rPr>
                <w:rFonts w:ascii="Times New Roman" w:eastAsia="Arial Unicode MS" w:hAnsi="Times New Roman"/>
                <w:bCs/>
                <w:lang w:eastAsia="ja-JP"/>
              </w:rPr>
            </w:pPr>
            <w:r w:rsidRPr="002C7C3D">
              <w:rPr>
                <w:rFonts w:ascii="Times New Roman" w:eastAsia="Arial Unicode MS" w:hAnsi="Times New Roman"/>
                <w:b/>
                <w:bCs/>
                <w:caps/>
                <w:lang w:eastAsia="ja-JP"/>
              </w:rPr>
              <w:t xml:space="preserve">VIII - </w:t>
            </w:r>
            <w:r w:rsidRPr="002C7C3D">
              <w:rPr>
                <w:rFonts w:ascii="Times New Roman" w:eastAsia="Arial Unicode MS" w:hAnsi="Times New Roman"/>
                <w:b/>
                <w:bCs/>
                <w:lang w:eastAsia="ja-JP"/>
              </w:rPr>
              <w:t>Zaključak</w:t>
            </w:r>
          </w:p>
        </w:tc>
      </w:tr>
    </w:tbl>
    <w:p w:rsidR="00D82FE8" w:rsidRDefault="00D82FE8"/>
    <w:sectPr w:rsidR="00D8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27D"/>
    <w:multiLevelType w:val="hybridMultilevel"/>
    <w:tmpl w:val="3446A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7548"/>
    <w:multiLevelType w:val="hybridMultilevel"/>
    <w:tmpl w:val="0FB86B80"/>
    <w:lvl w:ilvl="0" w:tplc="323ED7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41F2"/>
    <w:multiLevelType w:val="hybridMultilevel"/>
    <w:tmpl w:val="3446A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2D7F"/>
    <w:multiLevelType w:val="hybridMultilevel"/>
    <w:tmpl w:val="E8247044"/>
    <w:lvl w:ilvl="0" w:tplc="67ACC4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FD3B08"/>
    <w:multiLevelType w:val="hybridMultilevel"/>
    <w:tmpl w:val="25AEE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0"/>
    <w:rsid w:val="001B34D1"/>
    <w:rsid w:val="00283E2E"/>
    <w:rsid w:val="00377758"/>
    <w:rsid w:val="0046402A"/>
    <w:rsid w:val="00587427"/>
    <w:rsid w:val="009727A8"/>
    <w:rsid w:val="00A70017"/>
    <w:rsid w:val="00AD5F9E"/>
    <w:rsid w:val="00B46351"/>
    <w:rsid w:val="00BC79DD"/>
    <w:rsid w:val="00BD0C96"/>
    <w:rsid w:val="00C6162C"/>
    <w:rsid w:val="00C670BD"/>
    <w:rsid w:val="00D16EF1"/>
    <w:rsid w:val="00D43CEC"/>
    <w:rsid w:val="00D82FE8"/>
    <w:rsid w:val="00F01D62"/>
    <w:rsid w:val="00F22F2F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7131"/>
  <w15:docId w15:val="{7CB2F85F-634C-4511-93AC-72152EE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90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7A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7A90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D43CEC"/>
    <w:pPr>
      <w:spacing w:after="0" w:line="240" w:lineRule="auto"/>
    </w:pPr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Merkez</dc:creator>
  <cp:lastModifiedBy>Tea Andrić</cp:lastModifiedBy>
  <cp:revision>8</cp:revision>
  <dcterms:created xsi:type="dcterms:W3CDTF">2020-05-05T08:23:00Z</dcterms:created>
  <dcterms:modified xsi:type="dcterms:W3CDTF">2020-06-22T09:09:00Z</dcterms:modified>
</cp:coreProperties>
</file>